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E1620" w14:textId="77777777" w:rsidR="00AC66B0" w:rsidRDefault="00AC66B0" w:rsidP="00AC66B0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olor w:val="007CBE"/>
          <w:spacing w:val="-15"/>
          <w:sz w:val="50"/>
          <w:szCs w:val="50"/>
        </w:rPr>
      </w:pPr>
      <w:r>
        <w:rPr>
          <w:rFonts w:ascii="Arial" w:hAnsi="Arial" w:cs="Arial"/>
          <w:color w:val="007CBE"/>
          <w:spacing w:val="-15"/>
          <w:sz w:val="50"/>
          <w:szCs w:val="50"/>
        </w:rPr>
        <w:t xml:space="preserve">An audit benchmarking </w:t>
      </w:r>
      <w:proofErr w:type="gramStart"/>
      <w:r>
        <w:rPr>
          <w:rFonts w:ascii="Arial" w:hAnsi="Arial" w:cs="Arial"/>
          <w:color w:val="007CBE"/>
          <w:spacing w:val="-15"/>
          <w:sz w:val="50"/>
          <w:szCs w:val="50"/>
        </w:rPr>
        <w:t>30 day</w:t>
      </w:r>
      <w:proofErr w:type="gramEnd"/>
      <w:r>
        <w:rPr>
          <w:rFonts w:ascii="Arial" w:hAnsi="Arial" w:cs="Arial"/>
          <w:color w:val="007CBE"/>
          <w:spacing w:val="-15"/>
          <w:sz w:val="50"/>
          <w:szCs w:val="50"/>
        </w:rPr>
        <w:t xml:space="preserve"> mortality following palliative chemotherapy for solid tumours.</w:t>
      </w:r>
    </w:p>
    <w:p w14:paraId="32AD1332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34C63DF5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 departmental audit of all adult patients receiving palliative systemic anti-cancer therapy (SACT) for solid tumours in a single month. Data for mortality at 30 days, 1 year and 18 months was collected.</w:t>
      </w:r>
    </w:p>
    <w:p w14:paraId="34439CD9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20E4F731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2008 National Confidential Enquiry into Patient Outcome and Death (NCEPOD) recommended regular audits of 30-day mortality for chemotherapy patients.</w:t>
      </w:r>
    </w:p>
    <w:p w14:paraId="0AEBDBC9" w14:textId="77777777" w:rsidR="00AC66B0" w:rsidRDefault="00AC66B0" w:rsidP="00AC66B0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155B5E5A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6D3F5C3D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There remains no clear national benchmarking figure.</w:t>
      </w:r>
    </w:p>
    <w:p w14:paraId="32C27D2F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6A4932A3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Departmental audit to benchmark mortality following palliative SACT for solid tumours.</w:t>
      </w:r>
    </w:p>
    <w:p w14:paraId="15288AC2" w14:textId="77777777" w:rsidR="00AC66B0" w:rsidRDefault="00AC66B0" w:rsidP="00AC66B0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Assess local practice</w:t>
      </w:r>
    </w:p>
    <w:p w14:paraId="4F5FEB66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2DD6875D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Short term mortality following treatment with palliative SACT in local department.</w:t>
      </w:r>
    </w:p>
    <w:p w14:paraId="1A13D66D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0615CCB2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Mortality figures at 30 days, 12 months and 18 months.</w:t>
      </w:r>
    </w:p>
    <w:p w14:paraId="0D5A8BE1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65B4E797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All patients receiving treatment within one calendar month.</w:t>
      </w:r>
    </w:p>
    <w:p w14:paraId="6825762D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003392E3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Re-audit, feedback to clinicians, identify trends/specific cancer sites</w:t>
      </w:r>
    </w:p>
    <w:p w14:paraId="5596CF94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15A634B1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Data collected from electronic chemotherapy prescription system (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ChemoCare</w:t>
      </w:r>
      <w:proofErr w:type="spellEnd"/>
      <w:proofErr w:type="gramStart"/>
      <w:r>
        <w:rPr>
          <w:rFonts w:ascii="Arial" w:hAnsi="Arial" w:cs="Arial"/>
          <w:color w:val="343434"/>
          <w:sz w:val="23"/>
          <w:szCs w:val="23"/>
        </w:rPr>
        <w:t>®)and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hospital electronic records.</w:t>
      </w:r>
    </w:p>
    <w:p w14:paraId="24401696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49AF3961" w14:textId="77777777" w:rsidR="00AC66B0" w:rsidRDefault="00AC66B0" w:rsidP="00AC66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NCEPOD Report Systemic Anti-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Caner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Therapy: For better, for worse? 2008O’Brien, MER et al. Mortality within 30 days of chemotherapy: a clinical governance benchmarking issue for oncology patients. British Journal of Cancer (2006) 95, 1632–1636</w:t>
      </w:r>
    </w:p>
    <w:p w14:paraId="6239239D" w14:textId="77777777" w:rsidR="00AC66B0" w:rsidRDefault="00AC66B0" w:rsidP="00AC66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30-day mortality after systemic anticancer treatment for breast and lung cancer in England: a population-based, observational study. Wallington M, Saxon E et al. Lancet Oncology (2016) 17, vol 9, 1203-1216; </w:t>
      </w:r>
      <w:hyperlink r:id="rId8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https://doi.org/10.1016/S1470-2045(16)30383-7</w:t>
        </w:r>
      </w:hyperlink>
    </w:p>
    <w:p w14:paraId="45183505" w14:textId="77777777" w:rsidR="00AC66B0" w:rsidRDefault="00AC66B0" w:rsidP="00AC66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Mortality within 30 days following systemic anti-cancer therapy, a review of all cases over a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4 year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period in a tertiary cancer centre. Khoja A et al.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Eur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J Cancer (2015) 51,2,233-240; </w:t>
      </w:r>
      <w:hyperlink r:id="rId9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</w:rPr>
          <w:t>https://doi.org/10.1016/j.ejca.2014.11.011</w:t>
        </w:r>
      </w:hyperlink>
    </w:p>
    <w:p w14:paraId="4CB6EBBD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Editor's comments: </w:t>
      </w:r>
    </w:p>
    <w:p w14:paraId="207E9338" w14:textId="77777777" w:rsidR="00AC66B0" w:rsidRDefault="00AC66B0" w:rsidP="00AC66B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We encourage centres to present mortality figures so that departments can put their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short term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mortality in context.</w:t>
      </w:r>
    </w:p>
    <w:p w14:paraId="32E291DA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39022F1D" w14:textId="77777777" w:rsidR="00AC66B0" w:rsidRDefault="00AC66B0" w:rsidP="00AC66B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Rafael Silverman</w:t>
      </w:r>
    </w:p>
    <w:p w14:paraId="23D639FD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6C7B5934" w14:textId="77777777" w:rsidR="00AC66B0" w:rsidRDefault="00AC66B0" w:rsidP="00AC66B0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Monday 21 April 2014</w:t>
      </w:r>
    </w:p>
    <w:p w14:paraId="531A05DE" w14:textId="77777777" w:rsidR="00AC66B0" w:rsidRDefault="00AC66B0" w:rsidP="00AC66B0">
      <w:pPr>
        <w:rPr>
          <w:rFonts w:ascii="Times New Roman" w:hAnsi="Times New Roman" w:cs="Times New Roman"/>
          <w:sz w:val="24"/>
          <w:szCs w:val="24"/>
        </w:rPr>
      </w:pPr>
    </w:p>
    <w:p w14:paraId="285FF7BB" w14:textId="77777777" w:rsidR="00AC66B0" w:rsidRDefault="00AC66B0" w:rsidP="00AC66B0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7C0A2111" w14:textId="00B77557" w:rsidR="000D3E1E" w:rsidRDefault="006437B8" w:rsidP="00AC66B0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 w:rsidRPr="006437B8">
        <w:rPr>
          <w:rStyle w:val="date-display-single"/>
          <w:rFonts w:ascii="Arial" w:hAnsi="Arial" w:cs="Arial"/>
          <w:color w:val="343434"/>
          <w:sz w:val="23"/>
          <w:szCs w:val="23"/>
        </w:rPr>
        <w:t>Thursday 2 May 2024</w:t>
      </w:r>
    </w:p>
    <w:sectPr w:rsidR="000D3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B509F"/>
    <w:multiLevelType w:val="multilevel"/>
    <w:tmpl w:val="72CE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87EB0"/>
    <w:multiLevelType w:val="multilevel"/>
    <w:tmpl w:val="ED0A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12503">
    <w:abstractNumId w:val="1"/>
  </w:num>
  <w:num w:numId="2" w16cid:durableId="418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E"/>
    <w:rsid w:val="000D3E1E"/>
    <w:rsid w:val="00194E7C"/>
    <w:rsid w:val="001D3DCA"/>
    <w:rsid w:val="006437B8"/>
    <w:rsid w:val="00690825"/>
    <w:rsid w:val="00A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5C88"/>
  <w15:chartTrackingRefBased/>
  <w15:docId w15:val="{CF3561D1-D83D-467D-BC12-2D755FAE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ile-wrapper">
    <w:name w:val="file-wrapper"/>
    <w:basedOn w:val="DefaultParagraphFont"/>
    <w:rsid w:val="000D3E1E"/>
  </w:style>
  <w:style w:type="character" w:styleId="Hyperlink">
    <w:name w:val="Hyperlink"/>
    <w:basedOn w:val="DefaultParagraphFont"/>
    <w:uiPriority w:val="99"/>
    <w:semiHidden/>
    <w:unhideWhenUsed/>
    <w:rsid w:val="000D3E1E"/>
    <w:rPr>
      <w:color w:val="0000FF"/>
      <w:u w:val="single"/>
    </w:rPr>
  </w:style>
  <w:style w:type="character" w:customStyle="1" w:styleId="file-meta">
    <w:name w:val="file-meta"/>
    <w:basedOn w:val="DefaultParagraphFont"/>
    <w:rsid w:val="000D3E1E"/>
  </w:style>
  <w:style w:type="character" w:customStyle="1" w:styleId="file-type">
    <w:name w:val="file-type"/>
    <w:basedOn w:val="DefaultParagraphFont"/>
    <w:rsid w:val="000D3E1E"/>
  </w:style>
  <w:style w:type="character" w:customStyle="1" w:styleId="file-size">
    <w:name w:val="file-size"/>
    <w:basedOn w:val="DefaultParagraphFont"/>
    <w:rsid w:val="000D3E1E"/>
  </w:style>
  <w:style w:type="character" w:customStyle="1" w:styleId="date-display-single">
    <w:name w:val="date-display-single"/>
    <w:basedOn w:val="DefaultParagraphFont"/>
    <w:rsid w:val="000D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2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572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3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317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211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576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33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33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38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5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8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18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1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1470-2045(16)30383-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ejca.2014.11.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5" ma:contentTypeDescription="Create a new document." ma:contentTypeScope="" ma:versionID="55333fccc9f88f3ecd7cc02b0fe97f9c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922C5-25BD-4FAE-B702-45C73203B98A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2.xml><?xml version="1.0" encoding="utf-8"?>
<ds:datastoreItem xmlns:ds="http://schemas.openxmlformats.org/officeDocument/2006/customXml" ds:itemID="{9008E102-10C7-4A9A-9F81-142D7E2C9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6D7D8-8DDF-469C-A787-83E82E213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Leslie</dc:creator>
  <cp:keywords/>
  <dc:description/>
  <cp:lastModifiedBy>Daniel Smith</cp:lastModifiedBy>
  <cp:revision>2</cp:revision>
  <dcterms:created xsi:type="dcterms:W3CDTF">2024-08-07T10:14:00Z</dcterms:created>
  <dcterms:modified xsi:type="dcterms:W3CDTF">2024-08-07T10:14:00Z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