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AD1E" w14:textId="77777777" w:rsidR="005F34D2" w:rsidRPr="005F34D2" w:rsidRDefault="005F34D2" w:rsidP="005F34D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5F34D2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 xml:space="preserve">Audit of adequacy of the large </w:t>
      </w:r>
      <w:proofErr w:type="gramStart"/>
      <w:r w:rsidRPr="005F34D2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joints</w:t>
      </w:r>
      <w:proofErr w:type="gramEnd"/>
      <w:r w:rsidRPr="005F34D2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 xml:space="preserve"> magnetic resonance imaging</w:t>
      </w:r>
    </w:p>
    <w:p w14:paraId="140EF49C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CCAD36D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 audit to evaluate the adequacy and optimise coverage and imaging planes of MRI of the large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joints</w:t>
      </w:r>
      <w:proofErr w:type="gramEnd"/>
    </w:p>
    <w:p w14:paraId="2C1DAC67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96BC0EA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MRI is the preferred method to examine internal derangement of the joints. Routine MRI examination of the large joints typically includes image series acquired in the axial,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coronal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sagittal planes; some of which may be obliquely acquired. It is vital to cover the important anatomical structures adequately to ensure valid and complete assessment of pathology.</w:t>
      </w:r>
    </w:p>
    <w:p w14:paraId="05D48E27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European Society of Musculoskeletal Radiology (ESSR) [1] and American College of Radiology (ACR) [2-7] have published guidelines on the MRI image planes and proper anatomical coverage.</w:t>
      </w:r>
    </w:p>
    <w:p w14:paraId="465E2A09" w14:textId="77777777" w:rsidR="005F34D2" w:rsidRDefault="005F34D2" w:rsidP="005F34D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257F7A21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67D1C2E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Joint</w:t>
      </w:r>
    </w:p>
    <w:p w14:paraId="28AEE289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Coverage</w:t>
      </w:r>
    </w:p>
    <w:p w14:paraId="583562B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Imaging Planes</w:t>
      </w:r>
    </w:p>
    <w:p w14:paraId="13198C48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Shoulder</w:t>
      </w:r>
    </w:p>
    <w:p w14:paraId="562772A8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42668254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Axial: From above acromioclavicular joint to below axillary pouch</w:t>
      </w:r>
    </w:p>
    <w:p w14:paraId="71A2AE8C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Oblique coronal: From coracoid process and include entire humeral head</w:t>
      </w:r>
    </w:p>
    <w:p w14:paraId="090F2F7E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Oblique sagittal: From lateral deltoid to scapular body</w:t>
      </w:r>
    </w:p>
    <w:p w14:paraId="269DA75A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Oblique coronal: parallel to supraspinatus tendon</w:t>
      </w:r>
    </w:p>
    <w:p w14:paraId="0929F27A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Oblique sagittal: perpendicular to the supraspinatus tendon</w:t>
      </w:r>
    </w:p>
    <w:p w14:paraId="2947F070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47DFC26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6E325284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Elbow</w:t>
      </w:r>
    </w:p>
    <w:p w14:paraId="1B949561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2E3374C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Axial: From above epicondyles to below radial tuberosity</w:t>
      </w:r>
    </w:p>
    <w:p w14:paraId="07145F53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Coronal: include entire elbow, skin to skin</w:t>
      </w:r>
    </w:p>
    <w:p w14:paraId="3399A2E2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Sagittal: include entire elbow, skin to skin</w:t>
      </w:r>
    </w:p>
    <w:p w14:paraId="280A86A1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Coronal: parallel to intercondylar line</w:t>
      </w:r>
    </w:p>
    <w:p w14:paraId="36DB8FC0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Sagittal: perpendicular to intercondylar line</w:t>
      </w:r>
    </w:p>
    <w:p w14:paraId="20269A9C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04060EB2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776E62B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Wrist</w:t>
      </w:r>
    </w:p>
    <w:p w14:paraId="60CE963E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Axial: include 3 cm proximal to radiocarpal joint, to 1 cm distal to carpometacarpal joints</w:t>
      </w:r>
    </w:p>
    <w:p w14:paraId="7066C188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Coronal: oriented between radial and ulnar styloid processes</w:t>
      </w:r>
    </w:p>
    <w:p w14:paraId="311B65A9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Sagittal: perpendicular to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coronals</w:t>
      </w:r>
      <w:proofErr w:type="spellEnd"/>
    </w:p>
    <w:p w14:paraId="0317C390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41B62382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Hip</w:t>
      </w:r>
    </w:p>
    <w:p w14:paraId="037D14EA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Axial: from anterior inferior iliac spine to lesser trochanter</w:t>
      </w:r>
    </w:p>
    <w:p w14:paraId="70980196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Coronal whole pelvis: from sacroiliac joints to symphysis pubis</w:t>
      </w:r>
    </w:p>
    <w:p w14:paraId="1281DA9F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Coronal hip: from anterior to posterior acetabular columns</w:t>
      </w:r>
    </w:p>
    <w:p w14:paraId="1AACB472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Sagittal: from medial acetabular wall to greater trochanter</w:t>
      </w:r>
    </w:p>
    <w:p w14:paraId="6E93331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201C8DC5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027774E5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Knee</w:t>
      </w:r>
    </w:p>
    <w:p w14:paraId="3BCC1CC1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Axial: include patella and fibular head</w:t>
      </w:r>
    </w:p>
    <w:p w14:paraId="2077EE5C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Coronal: from patella to 2cm posterior to femoral condyles</w:t>
      </w:r>
    </w:p>
    <w:p w14:paraId="34000C86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- Sagittal: include collateral ligaments</w:t>
      </w:r>
    </w:p>
    <w:p w14:paraId="00ED4700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Axial: parallel to knee joint line</w:t>
      </w:r>
    </w:p>
    <w:p w14:paraId="29C98811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Coronal: parallel to posterior aspects of femoral condyles</w:t>
      </w:r>
    </w:p>
    <w:p w14:paraId="3375CF71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Sagittal: parallel to medial aspect of lateral condyle</w:t>
      </w:r>
    </w:p>
    <w:p w14:paraId="49A3EA2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305B5A16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Ankle</w:t>
      </w:r>
    </w:p>
    <w:p w14:paraId="3B9BD3B6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6415BF29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Axial: perpendicular to tibia</w:t>
      </w:r>
    </w:p>
    <w:p w14:paraId="31538420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Coronal: parallel to intermalleolar axis</w:t>
      </w:r>
    </w:p>
    <w:p w14:paraId="6C009F9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Sagittal: perpendicular to intermalleolar axis</w:t>
      </w:r>
    </w:p>
    <w:p w14:paraId="6EF7F14C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38F0D158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99BE3A1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readable image series with no or mild movement’s artefacts</w:t>
      </w:r>
    </w:p>
    <w:p w14:paraId="3C7855F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adequate coverage</w:t>
      </w:r>
    </w:p>
    <w:p w14:paraId="6F874464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correct imaging planes</w:t>
      </w:r>
    </w:p>
    <w:p w14:paraId="335791BC" w14:textId="77777777" w:rsidR="005F34D2" w:rsidRDefault="005F34D2" w:rsidP="005F34D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17EB83B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56E8E98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examinations with adequate coverage</w:t>
      </w:r>
    </w:p>
    <w:p w14:paraId="6D612AE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examinations with adequate imaging planes</w:t>
      </w:r>
    </w:p>
    <w:p w14:paraId="43B86112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examinations with readable image series with no or mild movement’s artefacts</w:t>
      </w:r>
    </w:p>
    <w:p w14:paraId="1370D85E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B29460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List of patients referred for large joint MRI</w:t>
      </w:r>
    </w:p>
    <w:p w14:paraId="2971012B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Date of MRI scan</w:t>
      </w:r>
    </w:p>
    <w:p w14:paraId="6F469B1F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For each MRI, document whether:</w:t>
      </w:r>
    </w:p>
    <w:p w14:paraId="02B9DF90" w14:textId="77777777" w:rsidR="005F34D2" w:rsidRDefault="005F34D2" w:rsidP="005F34D2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Coverage adequate</w:t>
      </w:r>
    </w:p>
    <w:p w14:paraId="2FC24EFC" w14:textId="77777777" w:rsidR="005F34D2" w:rsidRDefault="005F34D2" w:rsidP="005F34D2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Imaging planes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correct</w:t>
      </w:r>
      <w:proofErr w:type="gramEnd"/>
    </w:p>
    <w:p w14:paraId="4C5CF1D0" w14:textId="77777777" w:rsidR="005F34D2" w:rsidRDefault="005F34D2" w:rsidP="005F34D2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Image series readable, with no or mild movement’s artefacts. (Auditors should be able to decide If All series of a scan are readable, within the expertise of a general radiologist. For example, they are able to appropriately comment on, within the limits of a routine MR scan,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on: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shoulder glenoid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labrum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rotator cuff tendons; elbow collateral ligaments and common tendons; wrist triangular fibrocartilage, tendons and median nerve; hip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labrum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ligamentum teres, capsular ligaments and adjacent tendons; knee cruciate ligaments and menisci; and ankle collateral ligaments and the adjacent tendons).</w:t>
      </w:r>
    </w:p>
    <w:p w14:paraId="24B5A85C" w14:textId="77777777" w:rsidR="005F34D2" w:rsidRDefault="005F34D2" w:rsidP="005F34D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8088532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60 consecutive MRI examinations during the past 6 months (if comparing results over two or more sites, data should be collected during the same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time period</w:t>
      </w:r>
      <w:proofErr w:type="gramEnd"/>
      <w:r>
        <w:rPr>
          <w:rFonts w:ascii="Arial" w:hAnsi="Arial" w:cs="Arial"/>
          <w:color w:val="343434"/>
          <w:sz w:val="23"/>
          <w:szCs w:val="23"/>
        </w:rPr>
        <w:t>).</w:t>
      </w:r>
    </w:p>
    <w:p w14:paraId="29EABCB6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2D565B06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Present findings at departmental meeting</w:t>
      </w:r>
    </w:p>
    <w:p w14:paraId="64EEC4E7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Arrange MR radiographers’ education session</w:t>
      </w:r>
    </w:p>
    <w:p w14:paraId="3704B5F3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Consider reauditing</w:t>
      </w:r>
    </w:p>
    <w:p w14:paraId="4AC4F18F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0073E354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Data can be collected and analysed using an Excel sheet</w:t>
      </w:r>
    </w:p>
    <w:p w14:paraId="78E4C1F6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PACS and CRIS record access</w:t>
      </w:r>
    </w:p>
    <w:p w14:paraId="7AF20043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- 10 hours for data collection and analysis</w:t>
      </w:r>
    </w:p>
    <w:p w14:paraId="3101067F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0F630F3B" w14:textId="77777777" w:rsidR="005F34D2" w:rsidRDefault="005F34D2" w:rsidP="005F34D2">
      <w:pPr>
        <w:numPr>
          <w:ilvl w:val="0"/>
          <w:numId w:val="2"/>
        </w:numPr>
        <w:shd w:val="clear" w:color="auto" w:fill="FFFFFF"/>
        <w:spacing w:before="100" w:beforeAutospacing="1" w:after="75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</w:p>
    <w:p w14:paraId="664BFCC9" w14:textId="77777777" w:rsidR="005F34D2" w:rsidRDefault="005F34D2" w:rsidP="005F34D2">
      <w:pPr>
        <w:numPr>
          <w:ilvl w:val="1"/>
          <w:numId w:val="2"/>
        </w:numPr>
        <w:shd w:val="clear" w:color="auto" w:fill="FFFFFF"/>
        <w:spacing w:before="100" w:beforeAutospacing="1" w:after="75" w:line="312" w:lineRule="atLeast"/>
        <w:ind w:left="204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European Society of Skeletal Radiology Sports Sub-committee. Guidelines for MR Imaging of Sports Injuries, 2016.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https://www.essr.org/subcommittees/sports/</w:t>
        </w:r>
      </w:hyperlink>
    </w:p>
    <w:p w14:paraId="0C2D8742" w14:textId="77777777" w:rsidR="005F34D2" w:rsidRDefault="005F34D2" w:rsidP="005F34D2">
      <w:pPr>
        <w:numPr>
          <w:ilvl w:val="1"/>
          <w:numId w:val="2"/>
        </w:numPr>
        <w:shd w:val="clear" w:color="auto" w:fill="FFFFFF"/>
        <w:spacing w:before="100" w:beforeAutospacing="1" w:after="75" w:line="312" w:lineRule="atLeast"/>
        <w:ind w:left="204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ACR–SPR–SSR Practice Parameter for the Performance and Interpretation of Magnetic Resonance Imaging (MRI) of the Shoulder, 2020.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https://www.acr.org/-/media/ACR/Files/Practice-Parameters/MR-Shoulder.pdf</w:t>
        </w:r>
      </w:hyperlink>
    </w:p>
    <w:p w14:paraId="49AAB974" w14:textId="77777777" w:rsidR="005F34D2" w:rsidRDefault="005F34D2" w:rsidP="005F34D2">
      <w:pPr>
        <w:numPr>
          <w:ilvl w:val="1"/>
          <w:numId w:val="2"/>
        </w:numPr>
        <w:shd w:val="clear" w:color="auto" w:fill="FFFFFF"/>
        <w:spacing w:before="100" w:beforeAutospacing="1" w:after="75" w:line="312" w:lineRule="atLeast"/>
        <w:ind w:left="204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ACR–SPR–SSR Practice Parameter for the Performance and Interpretation of Magnetic Resonance Imaging (MRI) of the Elbow, 2021.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https://www.acr.org/-/media/ACR/Files/Practice-Parameters/mr-elbow.pdf</w:t>
        </w:r>
      </w:hyperlink>
    </w:p>
    <w:p w14:paraId="3599861C" w14:textId="77777777" w:rsidR="005F34D2" w:rsidRDefault="005F34D2" w:rsidP="005F34D2">
      <w:pPr>
        <w:numPr>
          <w:ilvl w:val="1"/>
          <w:numId w:val="2"/>
        </w:numPr>
        <w:shd w:val="clear" w:color="auto" w:fill="FFFFFF"/>
        <w:spacing w:before="100" w:beforeAutospacing="1" w:after="75" w:line="312" w:lineRule="atLeast"/>
        <w:ind w:left="204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ACR–SPR–SSR Practice Parameter for the Performance and Interpretation of Magnetic Resonance Imaging (MRI) of the Wrist, </w:t>
      </w:r>
      <w:r>
        <w:rPr>
          <w:rFonts w:ascii="Arial" w:hAnsi="Arial" w:cs="Arial"/>
          <w:color w:val="343434"/>
          <w:sz w:val="23"/>
          <w:szCs w:val="23"/>
        </w:rPr>
        <w:lastRenderedPageBreak/>
        <w:t>2017. 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https://www.acr.org/-/media/ACR/Files/Practice-Parameters/MR-Wrist.pdf</w:t>
        </w:r>
      </w:hyperlink>
    </w:p>
    <w:p w14:paraId="5DBABA62" w14:textId="77777777" w:rsidR="005F34D2" w:rsidRDefault="005F34D2" w:rsidP="005F34D2">
      <w:pPr>
        <w:numPr>
          <w:ilvl w:val="1"/>
          <w:numId w:val="2"/>
        </w:numPr>
        <w:shd w:val="clear" w:color="auto" w:fill="FFFFFF"/>
        <w:spacing w:before="100" w:beforeAutospacing="1" w:after="75" w:line="312" w:lineRule="atLeast"/>
        <w:ind w:left="204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ACR–SPR–SSR Practice Parameter for the Performance and Interpretation of Magnetic Resonance Imaging (MRI) of the hip, 2021. </w:t>
      </w:r>
      <w:hyperlink r:id="rId9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https://www.acr.org/-/media/ACR/Files/Practice-Parameters/mr-hip-pelvis.pdf</w:t>
        </w:r>
      </w:hyperlink>
    </w:p>
    <w:p w14:paraId="5F8D361D" w14:textId="77777777" w:rsidR="005F34D2" w:rsidRDefault="005F34D2" w:rsidP="005F34D2">
      <w:pPr>
        <w:numPr>
          <w:ilvl w:val="1"/>
          <w:numId w:val="2"/>
        </w:numPr>
        <w:shd w:val="clear" w:color="auto" w:fill="FFFFFF"/>
        <w:spacing w:before="100" w:beforeAutospacing="1" w:after="75" w:line="312" w:lineRule="atLeast"/>
        <w:ind w:left="204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ACR–SPR–SSR Practice Parameter for the Performance and Interpretation of Magnetic Resonance Imaging (MRI) of the Knee, 2020. </w:t>
      </w:r>
      <w:hyperlink r:id="rId10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https://www.acr.org/-/media/ACR/Files/Practice-Parameters/MR-Knee.pdf</w:t>
        </w:r>
      </w:hyperlink>
    </w:p>
    <w:p w14:paraId="4761E1AF" w14:textId="77777777" w:rsidR="005F34D2" w:rsidRDefault="005F34D2" w:rsidP="005F34D2">
      <w:pPr>
        <w:numPr>
          <w:ilvl w:val="1"/>
          <w:numId w:val="2"/>
        </w:numPr>
        <w:shd w:val="clear" w:color="auto" w:fill="FFFFFF"/>
        <w:spacing w:before="100" w:beforeAutospacing="1" w:after="75" w:line="312" w:lineRule="atLeast"/>
        <w:ind w:left="204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ACR–SPR–SSR Practice Parameter for the Performance and Interpretation of Magnetic Resonance Imaging (MRI) of the Ankle and Hind Foot, 2021. </w:t>
      </w:r>
      <w:hyperlink r:id="rId11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https://www.acr.org/-/media/ACR/Files/Practice-Parameters/MR-AnkleHindFoot.pdf</w:t>
        </w:r>
      </w:hyperlink>
    </w:p>
    <w:p w14:paraId="111BC6AD" w14:textId="77777777" w:rsidR="005F34D2" w:rsidRDefault="005F34D2" w:rsidP="005F34D2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71A194FD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EDDAC50" w14:textId="77777777" w:rsidR="005F34D2" w:rsidRDefault="005F34D2" w:rsidP="005F34D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Ahmed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Doweidar</w:t>
      </w:r>
      <w:proofErr w:type="spellEnd"/>
    </w:p>
    <w:p w14:paraId="79286362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1D799D24" w14:textId="77777777" w:rsidR="005F34D2" w:rsidRDefault="005F34D2" w:rsidP="005F34D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Mohamed Jawad Hashmi</w:t>
      </w:r>
    </w:p>
    <w:p w14:paraId="5D8E2F57" w14:textId="77777777" w:rsidR="005F34D2" w:rsidRDefault="005F34D2" w:rsidP="005F34D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Mohamed El-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Sakaan</w:t>
      </w:r>
      <w:proofErr w:type="spellEnd"/>
    </w:p>
    <w:p w14:paraId="32BAFE77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AC0D73F" w14:textId="77777777" w:rsidR="005F34D2" w:rsidRDefault="005F34D2" w:rsidP="005F34D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21 January 2022</w:t>
      </w:r>
    </w:p>
    <w:p w14:paraId="630E78AE" w14:textId="77777777" w:rsidR="005F34D2" w:rsidRDefault="005F34D2" w:rsidP="005F34D2">
      <w:pPr>
        <w:rPr>
          <w:rFonts w:ascii="Times New Roman" w:hAnsi="Times New Roman" w:cs="Times New Roman"/>
          <w:sz w:val="24"/>
          <w:szCs w:val="24"/>
        </w:rPr>
      </w:pPr>
    </w:p>
    <w:p w14:paraId="3D38A186" w14:textId="77777777" w:rsidR="005F34D2" w:rsidRDefault="005F34D2" w:rsidP="005F34D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0996440" w14:textId="77777777" w:rsidR="005F34D2" w:rsidRDefault="005F34D2" w:rsidP="005F34D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17 December 2021</w:t>
      </w:r>
    </w:p>
    <w:p w14:paraId="2A0A65AA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E3A"/>
    <w:multiLevelType w:val="multilevel"/>
    <w:tmpl w:val="8344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83E5D"/>
    <w:multiLevelType w:val="multilevel"/>
    <w:tmpl w:val="5FF0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847342">
    <w:abstractNumId w:val="0"/>
  </w:num>
  <w:num w:numId="2" w16cid:durableId="41899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D2"/>
    <w:rsid w:val="005F34D2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A221"/>
  <w15:chartTrackingRefBased/>
  <w15:docId w15:val="{B114C036-5510-4DF6-A055-493524B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4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4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F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F34D2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5F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773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1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10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93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51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.org/-/media/ACR/Files/Practice-Parameters/MR-Wris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r.org/-/media/ACR/Files/Practice-Parameters/mr-elbow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acr.org/-/media/ACR/Files/Practice-Parameters/MR-Shoulder.pdf" TargetMode="External"/><Relationship Id="rId11" Type="http://schemas.openxmlformats.org/officeDocument/2006/relationships/hyperlink" Target="https://www.acr.org/-/media/ACR/Files/Practice-Parameters/MR-AnkleHindFoot.pdf" TargetMode="External"/><Relationship Id="rId5" Type="http://schemas.openxmlformats.org/officeDocument/2006/relationships/hyperlink" Target="https://www.essr.org/subcommittees/sports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acr.org/-/media/ACR/Files/Practice-Parameters/MR-Kne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r.org/-/media/ACR/Files/Practice-Parameters/mr-hip-pelvis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2511231-FC46-4B12-9F9F-2FBAEF1B1700}"/>
</file>

<file path=customXml/itemProps2.xml><?xml version="1.0" encoding="utf-8"?>
<ds:datastoreItem xmlns:ds="http://schemas.openxmlformats.org/officeDocument/2006/customXml" ds:itemID="{DAAF6705-6365-42A7-B3A1-2FC937CCA4C9}"/>
</file>

<file path=customXml/itemProps3.xml><?xml version="1.0" encoding="utf-8"?>
<ds:datastoreItem xmlns:ds="http://schemas.openxmlformats.org/officeDocument/2006/customXml" ds:itemID="{16E496B5-469B-44F1-9C24-C4B8CD7F1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2023-10-09T11:37:00Z</dcterms:created>
  <dcterms:modified xsi:type="dcterms:W3CDTF">2023-10-09T11:38:00Z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