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1FEDB" w14:textId="77777777" w:rsidR="00976308" w:rsidRDefault="00976308" w:rsidP="00976308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>An audit of the Epidermal Growth Factor Receptor Tyrosine Kinase (EGFR-TK) mutation testing request pathway</w:t>
      </w:r>
    </w:p>
    <w:p w14:paraId="76543A54" w14:textId="77777777" w:rsidR="00294D4C" w:rsidRDefault="00294D4C" w:rsidP="00294D4C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184EAAAB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This audit will identify the median number of working days taken to obtain EGF-TK mutation results and any resulting impact on first-line treatment decisions by the lung oncology teams,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in particular whether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EGFR-TK mutation status is available prior to commencing systemic therapy.</w:t>
      </w:r>
    </w:p>
    <w:p w14:paraId="1CF6293B" w14:textId="77777777" w:rsidR="00294D4C" w:rsidRDefault="00294D4C" w:rsidP="00294D4C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2A987E5F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Approximately 10% of all patients with non-small cell lung cancer (NSCLC) will have activating mutations in the TK domain of the EGFR, conferring sensitivity to oral TK inhibitors. Gefitinib is recommended for first-line treatment of NSCLC as an alternative to platinum-based chemotherapy if EGFR-TK mutation testing is positive [1]. Timely reporting of mutation status by centralised genetics laboratories is vital in ensuring patients have access to all available treatments and is of increasing importance as personalised oncological healthcare develops.</w:t>
      </w:r>
    </w:p>
    <w:p w14:paraId="3734D65B" w14:textId="77777777" w:rsidR="00294D4C" w:rsidRDefault="00294D4C" w:rsidP="00294D4C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011044B8" w14:textId="77777777" w:rsidR="00294D4C" w:rsidRDefault="00294D4C" w:rsidP="00294D4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6828EA48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NICE technology appraisal guidance 192 recommends that all patients suitable for systemic therapy should have EGFR-TK mutation testing prior to any treatment, ensuring those eligible for gefitinib are appropriately identified.</w:t>
      </w:r>
    </w:p>
    <w:p w14:paraId="04B0C924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Tumour samples should be adequately prepared by local histology departments prior to being sent to the genetics laboratory for mutation testing.</w:t>
      </w:r>
    </w:p>
    <w:p w14:paraId="0D21281F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Results should be reported within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a time period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defined by the genetics department.</w:t>
      </w:r>
    </w:p>
    <w:p w14:paraId="4C0CF006" w14:textId="77777777" w:rsidR="00294D4C" w:rsidRDefault="00294D4C" w:rsidP="00294D4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2760E9F4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 of patients suitable for systemic therapy should have mutation testing for their EGFR-TK status prior to any treatment.100% of tumour samples should be prepared according to instructions detailed by the genetics laboratory.100% of mutation results should be obtained within 5 working days of the genetics laboratory receiving the specimen.</w:t>
      </w:r>
    </w:p>
    <w:p w14:paraId="4BFBEBF7" w14:textId="77777777" w:rsidR="00294D4C" w:rsidRDefault="00294D4C" w:rsidP="00294D4C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1A9830A9" w14:textId="77777777" w:rsidR="00294D4C" w:rsidRDefault="00294D4C" w:rsidP="00294D4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5B8F7346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Number of patients tested for EGFR-TK mutation status</w:t>
      </w:r>
    </w:p>
    <w:p w14:paraId="294620E5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• Percentage of specimens adequately prepared by local histology departments prior to dispatch to genetics laboratory</w:t>
      </w:r>
    </w:p>
    <w:p w14:paraId="0268AA37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Percentage of results obtained within 5 working days</w:t>
      </w:r>
    </w:p>
    <w:p w14:paraId="0456BC3A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 Percentage of patients whose mutation status results were available at the first oncology consultation and prior to commencing systemic therapy</w:t>
      </w:r>
    </w:p>
    <w:p w14:paraId="0E7FB20D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 Percentage of patients suitable for treatment with TK inhibitors but did not receive them because of delays in obtaining EGFR-TK status</w:t>
      </w:r>
    </w:p>
    <w:p w14:paraId="53DE50F0" w14:textId="77777777" w:rsidR="00294D4C" w:rsidRDefault="00294D4C" w:rsidP="00294D4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12D3E8EF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Age</w:t>
      </w:r>
    </w:p>
    <w:p w14:paraId="669BDD9B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Hospital</w:t>
      </w:r>
    </w:p>
    <w:p w14:paraId="049179C6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Disease stage</w:t>
      </w:r>
    </w:p>
    <w:p w14:paraId="5BF95B13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Date of mutation status request</w:t>
      </w:r>
    </w:p>
    <w:p w14:paraId="0827BFF2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Requester name</w:t>
      </w:r>
    </w:p>
    <w:p w14:paraId="77FB6ACC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Date request received by local histology department</w:t>
      </w:r>
    </w:p>
    <w:p w14:paraId="033D03AF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Method of specimen preparation by histology department</w:t>
      </w:r>
    </w:p>
    <w:p w14:paraId="56C2EF85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Date specimen sent to genetics lab</w:t>
      </w:r>
    </w:p>
    <w:p w14:paraId="0F6B9BD6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Number of working days taken to prepare specimen locally</w:t>
      </w:r>
    </w:p>
    <w:p w14:paraId="2E46150B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Date specimen received by genetics</w:t>
      </w:r>
    </w:p>
    <w:p w14:paraId="51A21898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Further histological preparation required by genetics, Y/N</w:t>
      </w:r>
    </w:p>
    <w:p w14:paraId="529651A4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Number of working days taken to complete further histological preparation prior to mutation status testing</w:t>
      </w:r>
    </w:p>
    <w:p w14:paraId="6BC6D2EC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Date mutation status result obtained by genetics lab. Number of working days for genetics lab to obtain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result</w:t>
      </w:r>
      <w:proofErr w:type="gramEnd"/>
    </w:p>
    <w:p w14:paraId="4596997A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EGFR-TK mutation status result</w:t>
      </w:r>
    </w:p>
    <w:p w14:paraId="3D8AACF8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Date results sent to oncology team</w:t>
      </w:r>
    </w:p>
    <w:p w14:paraId="0C1A8328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Number of working days from initial request to receipt of mutation result by oncology team</w:t>
      </w:r>
    </w:p>
    <w:p w14:paraId="70265FEF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Method of results communication to oncology team </w:t>
      </w:r>
      <w:proofErr w:type="spellStart"/>
      <w:proofErr w:type="gramStart"/>
      <w:r>
        <w:rPr>
          <w:rFonts w:ascii="Arial" w:hAnsi="Arial" w:cs="Arial"/>
          <w:color w:val="343434"/>
          <w:sz w:val="23"/>
          <w:szCs w:val="23"/>
        </w:rPr>
        <w:t>eg</w:t>
      </w:r>
      <w:proofErr w:type="spellEnd"/>
      <w:proofErr w:type="gramEnd"/>
      <w:r>
        <w:rPr>
          <w:rFonts w:ascii="Arial" w:hAnsi="Arial" w:cs="Arial"/>
          <w:color w:val="343434"/>
          <w:sz w:val="23"/>
          <w:szCs w:val="23"/>
        </w:rPr>
        <w:t> computerised results system/email</w:t>
      </w:r>
    </w:p>
    <w:p w14:paraId="0B3B3BD4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• Date of first patient consultation with oncology team</w:t>
      </w:r>
    </w:p>
    <w:p w14:paraId="7A72EBFC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Systemic therapy received, Y/N</w:t>
      </w:r>
    </w:p>
    <w:p w14:paraId="25D416B0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Treatment received</w:t>
      </w:r>
    </w:p>
    <w:p w14:paraId="54772664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Start date of systemic treatment</w:t>
      </w:r>
    </w:p>
    <w:p w14:paraId="7A08BCF7" w14:textId="77777777" w:rsidR="00294D4C" w:rsidRDefault="00294D4C" w:rsidP="00294D4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3C464C7D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EGFR-TK mutation status requests over a period of 6 months</w:t>
      </w:r>
    </w:p>
    <w:p w14:paraId="6FF11B84" w14:textId="77777777" w:rsidR="00294D4C" w:rsidRDefault="00294D4C" w:rsidP="00294D4C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0FB99B6E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Identify delays in request pathway by analysis of indicators as detailed above</w:t>
      </w:r>
    </w:p>
    <w:p w14:paraId="5E8C83D4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EGFR-TK mutation requests to be sent to local histology departments within one working day of lung MDT by nominated member(s) of staff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e.g.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clinical nurse specialist</w:t>
      </w:r>
    </w:p>
    <w:p w14:paraId="4FAA570C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Tumour samples to be sent to genetics laboratory by nominated member(s) of histology staff within 2 working days of request</w:t>
      </w:r>
    </w:p>
    <w:p w14:paraId="54DA4AF0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Develop local protocol to ensure tumour specimen preparation is adequate for genetic analysis</w:t>
      </w:r>
    </w:p>
    <w:p w14:paraId="5579C263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If not possible, tumour specimen preparation to be performed by genetics department to ensure consistency in technique</w:t>
      </w:r>
    </w:p>
    <w:p w14:paraId="3B232AB4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Results to be communicated to oncologist by agreed method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e.g.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secure/confidential email</w:t>
      </w:r>
    </w:p>
    <w:p w14:paraId="4F2A13F5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Re-audit in 12 months</w:t>
      </w:r>
    </w:p>
    <w:p w14:paraId="1C4C6C4E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above should reduce the time taken to establish mutation status and ensure results are available to oncologists prior to commencing any treatment.</w:t>
      </w:r>
    </w:p>
    <w:p w14:paraId="3AE3BF0F" w14:textId="77777777" w:rsidR="00294D4C" w:rsidRDefault="00294D4C" w:rsidP="00294D4C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4E256A4E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Personnel: Audit lead, audit facilitator, oncologist, geneticist, histologist</w:t>
      </w:r>
    </w:p>
    <w:p w14:paraId="0C6C1399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Data collection: Patient notes, EGFR-TK mutation request forms, results reporting systems, genetics and histology specimen log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records</w:t>
      </w:r>
      <w:proofErr w:type="gramEnd"/>
    </w:p>
    <w:p w14:paraId="29387F38" w14:textId="77777777" w:rsidR="00294D4C" w:rsidRDefault="00294D4C" w:rsidP="00294D4C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77754861" w14:textId="77777777" w:rsidR="00294D4C" w:rsidRDefault="00294D4C" w:rsidP="00294D4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National Institute for Health and Clinical Excellence. NICE technology appraisal guidance 192. Gefitinib for the first-line treatment of locally advanced or metastatic non-small-cell lung cancer. London: NICE, 2010</w:t>
      </w:r>
    </w:p>
    <w:p w14:paraId="6966A48D" w14:textId="77777777" w:rsidR="00294D4C" w:rsidRDefault="00294D4C" w:rsidP="00294D4C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lastRenderedPageBreak/>
        <w:t>Editor's comments: </w:t>
      </w:r>
    </w:p>
    <w:p w14:paraId="21C3A40B" w14:textId="77777777" w:rsidR="00294D4C" w:rsidRDefault="00294D4C" w:rsidP="00294D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None</w:t>
      </w:r>
    </w:p>
    <w:p w14:paraId="69790645" w14:textId="77777777" w:rsidR="00294D4C" w:rsidRDefault="00294D4C" w:rsidP="00294D4C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62F281D2" w14:textId="77777777" w:rsidR="00294D4C" w:rsidRDefault="00294D4C" w:rsidP="00294D4C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Samantha Cox</w:t>
      </w:r>
    </w:p>
    <w:p w14:paraId="0C6B3FB1" w14:textId="77777777" w:rsidR="00294D4C" w:rsidRDefault="00294D4C" w:rsidP="00294D4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09771A15" w14:textId="77777777" w:rsidR="00294D4C" w:rsidRDefault="00294D4C" w:rsidP="00294D4C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Monday 22 July 2013</w:t>
      </w:r>
    </w:p>
    <w:p w14:paraId="3930549F" w14:textId="77777777" w:rsidR="00294D4C" w:rsidRDefault="00294D4C" w:rsidP="00294D4C">
      <w:pPr>
        <w:rPr>
          <w:rFonts w:ascii="Times New Roman" w:hAnsi="Times New Roman" w:cs="Times New Roman"/>
          <w:sz w:val="24"/>
          <w:szCs w:val="24"/>
        </w:rPr>
      </w:pPr>
    </w:p>
    <w:p w14:paraId="0E2B2C0F" w14:textId="77777777" w:rsidR="00294D4C" w:rsidRDefault="00294D4C" w:rsidP="00294D4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2945FC30" w14:textId="77777777" w:rsidR="00294D4C" w:rsidRDefault="00294D4C" w:rsidP="00294D4C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Tuesday 17 May 2022</w:t>
      </w:r>
    </w:p>
    <w:p w14:paraId="7C0A2111" w14:textId="2D782C9C" w:rsidR="000D3E1E" w:rsidRDefault="000D3E1E" w:rsidP="000D3E1E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 </w:t>
      </w:r>
    </w:p>
    <w:sectPr w:rsidR="000D3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87EB0"/>
    <w:multiLevelType w:val="multilevel"/>
    <w:tmpl w:val="ED0A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635D06"/>
    <w:multiLevelType w:val="multilevel"/>
    <w:tmpl w:val="D4AC6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912503">
    <w:abstractNumId w:val="0"/>
  </w:num>
  <w:num w:numId="2" w16cid:durableId="9987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E"/>
    <w:rsid w:val="000D3E1E"/>
    <w:rsid w:val="00194E7C"/>
    <w:rsid w:val="001D3DCA"/>
    <w:rsid w:val="00294D4C"/>
    <w:rsid w:val="0097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5C88"/>
  <w15:chartTrackingRefBased/>
  <w15:docId w15:val="{CF3561D1-D83D-467D-BC12-2D755FA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3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E1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D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ile-wrapper">
    <w:name w:val="file-wrapper"/>
    <w:basedOn w:val="DefaultParagraphFont"/>
    <w:rsid w:val="000D3E1E"/>
  </w:style>
  <w:style w:type="character" w:styleId="Hyperlink">
    <w:name w:val="Hyperlink"/>
    <w:basedOn w:val="DefaultParagraphFont"/>
    <w:uiPriority w:val="99"/>
    <w:semiHidden/>
    <w:unhideWhenUsed/>
    <w:rsid w:val="000D3E1E"/>
    <w:rPr>
      <w:color w:val="0000FF"/>
      <w:u w:val="single"/>
    </w:rPr>
  </w:style>
  <w:style w:type="character" w:customStyle="1" w:styleId="file-meta">
    <w:name w:val="file-meta"/>
    <w:basedOn w:val="DefaultParagraphFont"/>
    <w:rsid w:val="000D3E1E"/>
  </w:style>
  <w:style w:type="character" w:customStyle="1" w:styleId="file-type">
    <w:name w:val="file-type"/>
    <w:basedOn w:val="DefaultParagraphFont"/>
    <w:rsid w:val="000D3E1E"/>
  </w:style>
  <w:style w:type="character" w:customStyle="1" w:styleId="file-size">
    <w:name w:val="file-size"/>
    <w:basedOn w:val="DefaultParagraphFont"/>
    <w:rsid w:val="000D3E1E"/>
  </w:style>
  <w:style w:type="character" w:customStyle="1" w:styleId="date-display-single">
    <w:name w:val="date-display-single"/>
    <w:basedOn w:val="DefaultParagraphFont"/>
    <w:rsid w:val="000D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1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83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75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790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18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5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19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491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946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3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9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0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6290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1465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432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7717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5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1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  <SharedWithUsers xmlns="3fb4b005-a1e9-415f-95e8-b72bee4e82f5">
      <UserInfo>
        <DisplayName/>
        <AccountId xsi:nil="true"/>
        <AccountType/>
      </UserInfo>
    </SharedWithUsers>
    <MediaLengthInSeconds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C780DF32-7483-4B3E-9079-A4F8073DA486}"/>
</file>

<file path=customXml/itemProps2.xml><?xml version="1.0" encoding="utf-8"?>
<ds:datastoreItem xmlns:ds="http://schemas.openxmlformats.org/officeDocument/2006/customXml" ds:itemID="{D1208EC3-E3BD-43CA-948F-F0F7D0AB3D30}"/>
</file>

<file path=customXml/itemProps3.xml><?xml version="1.0" encoding="utf-8"?>
<ds:datastoreItem xmlns:ds="http://schemas.openxmlformats.org/officeDocument/2006/customXml" ds:itemID="{C038BC53-F170-424B-B3CB-F3370FC926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4</cp:revision>
  <dcterms:created xsi:type="dcterms:W3CDTF">2023-10-05T14:15:00Z</dcterms:created>
  <dcterms:modified xsi:type="dcterms:W3CDTF">2023-10-05T14:41:00Z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  <property fmtid="{D5CDD505-2E9C-101B-9397-08002B2CF9AE}" pid="3" name="Order">
    <vt:r8>258859400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