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7233" w14:textId="77777777" w:rsidR="00353E70" w:rsidRDefault="00353E70" w:rsidP="00353E70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Image-guided brachytherapy for cervix cancer: Audit of practice and outcomes</w:t>
      </w:r>
    </w:p>
    <w:p w14:paraId="76A1D2C5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391FB9D1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Audit of local performance with respect to:</w:t>
      </w:r>
    </w:p>
    <w:p w14:paraId="11285049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Technical quality of delivery of CT or MRI-guided brachytherapy for locally advanced cervix cancer</w:t>
      </w:r>
    </w:p>
    <w:p w14:paraId="529CAD53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Relevant clinical outcomes in patients treated with CT or MRI-guided brachytherapy for locally advanced cervix cancer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i.e.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rates of local recurrence and late toxicity</w:t>
      </w:r>
    </w:p>
    <w:p w14:paraId="5FB23AD1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38752D2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Standard treatment for locally advanced cervix cancer consists of concomitant external beam radiotherapy (EBRT) with cisplatin-based chemotherapy followed by brachytherapy. In response to GEC-ESTRO guidance 2005-2006, conventional brachytherapy has been superseded by image-guided brachytherapy (IGBT), enabling greater dose conformity and improved local tumour control. Regular audits are required to ensure that high technical standards are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maintained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patient outcomes are comparable to leading centres.</w:t>
      </w:r>
    </w:p>
    <w:p w14:paraId="0981158A" w14:textId="77777777" w:rsidR="00353E70" w:rsidRDefault="00353E70" w:rsidP="00353E7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823FB0B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57629968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>PRACTICE:</w:t>
      </w:r>
      <w:r>
        <w:rPr>
          <w:rFonts w:ascii="Arial" w:hAnsi="Arial" w:cs="Arial"/>
          <w:color w:val="343434"/>
          <w:sz w:val="23"/>
          <w:szCs w:val="23"/>
        </w:rPr>
        <w:t> Standards from RCR guidance 2009 and 2012</w:t>
      </w:r>
    </w:p>
    <w:p w14:paraId="7CA3FE66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Equivalent dose in 2Gy fractions (EQD2) to 90% of the high-risk clinical target volume (HR-CTV D90) to be ≥85Gy</w:t>
      </w:r>
    </w:p>
    <w:p w14:paraId="3A63842B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EQD2 to the most exposed 2cc (D2cc) of organ at risk (OAR) to be ≤95Gy for bladder, ≤75Gy for rectum, ≤75Gy for sigmoid</w:t>
      </w:r>
    </w:p>
    <w:p w14:paraId="16D23BDE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Overall treatment time to be ≤50 days</w:t>
      </w:r>
    </w:p>
    <w:p w14:paraId="1A4F69C0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>OUTCOMES:</w:t>
      </w:r>
      <w:r>
        <w:rPr>
          <w:rFonts w:ascii="Arial" w:hAnsi="Arial" w:cs="Arial"/>
          <w:color w:val="343434"/>
          <w:sz w:val="23"/>
          <w:szCs w:val="23"/>
        </w:rPr>
        <w:t xml:space="preserve"> Standard taken to be published outcomes of a leading image-guided brachytherapy centre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Vienna</w:t>
      </w:r>
    </w:p>
    <w:p w14:paraId="7398A3C5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Local (i.e. within brachytherapy field) tumour control rates for tumours ≤5cm and &gt;5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cm  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be comparable to a leading centre e.g. Vienna</w:t>
      </w:r>
    </w:p>
    <w:p w14:paraId="41CF9F2C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Late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i.e.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onset &gt;3 months following end of treatment) toxicity rates to be comparable to a leading centre e.g. Vienna</w:t>
      </w:r>
    </w:p>
    <w:p w14:paraId="551A3652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69A2D1BC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>PRACTICE:</w:t>
      </w:r>
    </w:p>
    <w:p w14:paraId="2655135B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   • 90% of cases meeting each standard</w:t>
      </w:r>
    </w:p>
    <w:p w14:paraId="28D45FC7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>OUTCOMES:</w:t>
      </w:r>
    </w:p>
    <w:p w14:paraId="766B2756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  • Actuarial 3-year rates to be within 10% of figures achieved at a leading centre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Vienna</w:t>
      </w:r>
    </w:p>
    <w:p w14:paraId="07D10A7A" w14:textId="77777777" w:rsidR="00353E70" w:rsidRDefault="00353E70" w:rsidP="00353E7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798BA416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7D22E1EA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>PRACTICE:</w:t>
      </w:r>
    </w:p>
    <w:p w14:paraId="3E41CD03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Percentage of cases meeting each standard</w:t>
      </w:r>
    </w:p>
    <w:p w14:paraId="7D62C16E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>OUTCOMES:</w:t>
      </w:r>
    </w:p>
    <w:p w14:paraId="50A394E4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Actuarial 3-year rates</w:t>
      </w:r>
    </w:p>
    <w:p w14:paraId="2E93D974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7909FCD2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Baseline characteristics: Age, tumour size, nodal status, FIGO stage, histology, external beam radiotherapy Y/N, chemotherapy Y/N</w:t>
      </w:r>
    </w:p>
    <w:p w14:paraId="0F3501A6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Brachytherapy data: Planning imaging modality (CT or MRI), type of applicator (tandem-ovoid or tandem-ring), interstitial needles Y/N, EQD2 HR-CTV D90, EQD2 D2cc bladder / rectum / sigmoid, overall treatment time for external beam radiotherapy and brachytherapy</w:t>
      </w:r>
    </w:p>
    <w:p w14:paraId="7F8CEC6E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Outcome data (ideally 3 years of follow-up, minimum 1 year of follow-up): Local recurrence within brachytherapy field Y/N, time of recurrence, late toxicity event Y/N, time of event, CTCAE grading of event</w:t>
      </w:r>
    </w:p>
    <w:p w14:paraId="5C5741D4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A854440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Minimum of 20 patients.</w:t>
      </w:r>
    </w:p>
    <w:p w14:paraId="059803C0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33D48E94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Review of brachytherapy planning process and dosimetry to identify contributory factors in patients who:</w:t>
      </w:r>
    </w:p>
    <w:p w14:paraId="7C6E9595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a) Fail to meet criteria for HR-CTV D90 or organ at risk D2cc</w:t>
      </w:r>
    </w:p>
    <w:p w14:paraId="396D82D2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b) Develop in-brachytherapy field recurrence</w:t>
      </w:r>
    </w:p>
    <w:p w14:paraId="39407859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c) Develop grade 3 or 4 late bladder or bowel toxicity</w:t>
      </w:r>
    </w:p>
    <w:p w14:paraId="7955C1CD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Departmental dissemination of audit findings</w:t>
      </w:r>
    </w:p>
    <w:p w14:paraId="69F8BCA6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If significant logistical delays in outpatient delivery of brachytherapy fractions, consider implementing an inpatient admission pathway to facilitate delivery of all fractions during a single hospital stay.</w:t>
      </w:r>
    </w:p>
    <w:p w14:paraId="066A0ACB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2D2CC319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Radiotherapy physics database</w:t>
      </w:r>
    </w:p>
    <w:p w14:paraId="29455626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Clinical records</w:t>
      </w:r>
    </w:p>
    <w:p w14:paraId="6406AEE4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6F705EC8" w14:textId="77777777" w:rsidR="00353E70" w:rsidRDefault="00353E70" w:rsidP="0035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Haie-Meder C, Potter R, Van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Limbergen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E, Briot E, De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Brabandere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M, Dimopoulos J et al. Recommendations from Gynaecological (GYN) GEC-ESTRO Working Group (I): concepts and terms in 3D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image based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3D treatment planning in cervix cancer brachytherapy with emphasis on MRI assessment of GTV and CTV.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Radiother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Oncol. 2005;74(3):235-45.</w:t>
      </w:r>
    </w:p>
    <w:p w14:paraId="44F10575" w14:textId="77777777" w:rsidR="00353E70" w:rsidRDefault="00353E70" w:rsidP="0035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Potter R, Haie-Meder C, Van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Limbergen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E, Barillot I, De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Brabandere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M, Dimopoulos J et al. Recommendations from Gynaecological (GYN) GEC-ESTRO Working Group (II): concepts and terms in 3D image-based treatment planning in cervix cancer brachytherapy - 3D dose volume parameters and aspects of 3D image-based anatomy, radiation physics, radiobiology.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Radiother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Oncol. 2006;78(1):67-77.</w:t>
      </w:r>
    </w:p>
    <w:p w14:paraId="6D6B3B6F" w14:textId="77777777" w:rsidR="00353E70" w:rsidRDefault="00353E70" w:rsidP="0035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Royal College of Radiologists. Implementing image-guided brachytherapy for cervix cancer in the United Kingdom. London: The Royal College of Radiologists, 2009.</w:t>
      </w:r>
    </w:p>
    <w:p w14:paraId="45D3FAAC" w14:textId="77777777" w:rsidR="00353E70" w:rsidRDefault="00353E70" w:rsidP="0035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Royal College of Radiologists: The role and development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afterloading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brachytherapy services in the United Kingdom. London: The Royal College of Radiologists, 2012.</w:t>
      </w:r>
    </w:p>
    <w:p w14:paraId="7044814E" w14:textId="77777777" w:rsidR="00353E70" w:rsidRDefault="00353E70" w:rsidP="0035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Potter R, Georg P, Dimopoulos JC, Grimm M, Berger D, Nesvacil N et al. Clinical outcome of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protocol based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image (MRI) guided adaptive brachytherapy combined with 3D conformal radiotherapy with or without chemotherapy in patients with locally advanced cervix cancer.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Radiother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Oncol. 2001;100(1):116-23.</w:t>
      </w:r>
    </w:p>
    <w:p w14:paraId="0F2191F6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5E95154" w14:textId="77777777" w:rsidR="00353E70" w:rsidRDefault="00353E70" w:rsidP="00353E7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12 May 2015</w:t>
      </w:r>
    </w:p>
    <w:p w14:paraId="32E1B784" w14:textId="77777777" w:rsidR="00353E70" w:rsidRDefault="00353E70" w:rsidP="00353E70">
      <w:pPr>
        <w:rPr>
          <w:rFonts w:ascii="Times New Roman" w:hAnsi="Times New Roman" w:cs="Times New Roman"/>
          <w:sz w:val="24"/>
          <w:szCs w:val="24"/>
        </w:rPr>
      </w:pPr>
    </w:p>
    <w:p w14:paraId="184A1F0B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6E95A589" w14:textId="77777777" w:rsidR="00353E70" w:rsidRDefault="00353E70" w:rsidP="00353E7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19 April 2018</w:t>
      </w:r>
    </w:p>
    <w:p w14:paraId="7C0A2111" w14:textId="416263F7" w:rsidR="000D3E1E" w:rsidRDefault="000D3E1E" w:rsidP="00353E7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260"/>
    <w:multiLevelType w:val="multilevel"/>
    <w:tmpl w:val="82A4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1"/>
  </w:num>
  <w:num w:numId="2" w16cid:durableId="205353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3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452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4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568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6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07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C8194C19-B23F-4F31-862B-EA3E7D6CD32F}"/>
</file>

<file path=customXml/itemProps2.xml><?xml version="1.0" encoding="utf-8"?>
<ds:datastoreItem xmlns:ds="http://schemas.openxmlformats.org/officeDocument/2006/customXml" ds:itemID="{7B118388-62FA-4C77-8333-B57EE9CCCD5F}"/>
</file>

<file path=customXml/itemProps3.xml><?xml version="1.0" encoding="utf-8"?>
<ds:datastoreItem xmlns:ds="http://schemas.openxmlformats.org/officeDocument/2006/customXml" ds:itemID="{E8215B27-D668-454B-8B7F-5557620D8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